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533" w:rsidRDefault="00846533" w:rsidP="008465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846533">
        <w:rPr>
          <w:rFonts w:ascii="Times New Roman" w:hAnsi="Times New Roman" w:cs="Times New Roman"/>
          <w:bCs/>
          <w:sz w:val="20"/>
          <w:szCs w:val="20"/>
        </w:rPr>
        <w:t>ПРОЕКТ</w:t>
      </w:r>
    </w:p>
    <w:p w:rsidR="00846533" w:rsidRPr="00846533" w:rsidRDefault="00846533" w:rsidP="0084653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040DEF" w:rsidRPr="00846533" w:rsidRDefault="00040DEF" w:rsidP="00846533">
      <w:pPr>
        <w:pStyle w:val="a4"/>
        <w:numPr>
          <w:ilvl w:val="0"/>
          <w:numId w:val="2"/>
        </w:numPr>
        <w:tabs>
          <w:tab w:val="left" w:pos="426"/>
          <w:tab w:val="left" w:pos="4536"/>
          <w:tab w:val="left" w:pos="467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846533">
        <w:rPr>
          <w:rFonts w:ascii="Times New Roman" w:hAnsi="Times New Roman" w:cs="Times New Roman"/>
          <w:b/>
          <w:bCs/>
          <w:sz w:val="20"/>
          <w:szCs w:val="20"/>
        </w:rPr>
        <w:t>ПАСПОРТ</w:t>
      </w:r>
    </w:p>
    <w:p w:rsidR="00846533" w:rsidRDefault="00846533" w:rsidP="0084653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6533">
        <w:rPr>
          <w:rFonts w:ascii="Times New Roman" w:hAnsi="Times New Roman" w:cs="Times New Roman"/>
          <w:b/>
          <w:bCs/>
          <w:sz w:val="20"/>
          <w:szCs w:val="20"/>
        </w:rPr>
        <w:t>государственной программы Новосибирской области</w:t>
      </w:r>
    </w:p>
    <w:p w:rsidR="00846533" w:rsidRPr="00846533" w:rsidRDefault="00846533" w:rsidP="0084653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6533">
        <w:rPr>
          <w:rFonts w:ascii="Times New Roman" w:hAnsi="Times New Roman" w:cs="Times New Roman"/>
          <w:b/>
          <w:bCs/>
          <w:sz w:val="20"/>
          <w:szCs w:val="20"/>
        </w:rPr>
        <w:t>«Обеспечение безопасности жизнедеятельности населения Новосибирской области»</w:t>
      </w:r>
    </w:p>
    <w:p w:rsidR="00846533" w:rsidRPr="00846533" w:rsidRDefault="00846533" w:rsidP="0084653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040DEF" w:rsidRDefault="00040DEF" w:rsidP="00040D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650"/>
      </w:tblGrid>
      <w:tr w:rsidR="0018041F" w:rsidRPr="0018041F" w:rsidTr="00F03946">
        <w:trPr>
          <w:trHeight w:val="54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жизнедеятельности населения Новосибирской области (далее – государственная программа)</w:t>
            </w:r>
          </w:p>
        </w:tc>
      </w:tr>
      <w:tr w:rsidR="0018041F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Разработчики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Министерство жилищно–коммунального хозяйства и энергетики Новосибирской области (далее – МЖКХиЭ НСО)</w:t>
            </w:r>
          </w:p>
        </w:tc>
      </w:tr>
      <w:tr w:rsidR="0018041F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Государственный заказчик–координатор – МЖКХиЭ НСО.</w:t>
            </w:r>
          </w:p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Государственные заказчики:</w:t>
            </w:r>
          </w:p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МЖКХиЭ НСО;</w:t>
            </w:r>
          </w:p>
          <w:p w:rsid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департамент информатизации и развития телекоммуникационных технологий Новосибирской области (далее – ДИиРТТ НСО)</w:t>
            </w:r>
          </w:p>
          <w:p w:rsidR="006D35B5" w:rsidRPr="006D35B5" w:rsidRDefault="006D35B5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Новосибирской области</w:t>
            </w:r>
          </w:p>
        </w:tc>
      </w:tr>
      <w:tr w:rsidR="0018041F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Руководитель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Министр жилищно-коммунального хозяйства и энергетики Новосибирской области</w:t>
            </w:r>
          </w:p>
        </w:tc>
      </w:tr>
      <w:tr w:rsidR="0018041F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41F" w:rsidRPr="0018041F" w:rsidRDefault="00F03946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МЖКХиЭ НСО, министерство строительства Новосибирской области, государственное казенное учреждение Новосибирской области "Центр по обеспечению мероприятий в области гражданской обороны, чрезвычайных ситуаций и пожарной безопасности Новосибирской области" (далее - ГКУ НСО "Центр ГО, ЧС и ПБ Новосибирской области"), государственное казенное учреждение Новосибирской области "Управление капитального строительства" (далее - ГКУ НСО "УКС"), государственное автономное образовательное учреждение дополнительного профессионального образования Новосибирской области "Учебно-методический центр по гражданской обороне и чрезвычайным ситуациям Новосибирской области" (далее - ГАОУ ДПО НСО "Учебно-методический центр по гражданской обороне и чрезвычайным ситуациям Новосибирской области"), ДИиРТТ НСО, органы местного самоуправления Новосибирской области, общественные объединения добровольной пожарной охраны Новосибирской области и организации, выбранные на конкурсной основе</w:t>
            </w:r>
          </w:p>
        </w:tc>
      </w:tr>
      <w:tr w:rsidR="0018041F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Цели и задачи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Цель: обеспечение безопасности жизнедеятельности населения Новосибирской области, защита территории Новосибирской области, объектов экономики и социальной сферы от чрезвычайных ситуаций природного и техногенного характера.</w:t>
            </w:r>
          </w:p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1. Создание и обеспечение эффективного использования на территории Новосибирской области систем оповещения населения об угрозе возникновения или о возникновении чрезвычайных ситуаций.</w:t>
            </w:r>
          </w:p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2. Создание условий для привлечения общественных объединений добровольной пожарной охраны Новосибирской области к тушению пожаров.</w:t>
            </w:r>
          </w:p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3. Содействие муниципальным образованиям Новосибирской области в снижении рисков и смягчении последствий чрезвычайных ситуаций природного и техногенного характера.</w:t>
            </w:r>
          </w:p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4. Обеспечение и поддержание в</w:t>
            </w:r>
            <w:r w:rsidR="006D35B5">
              <w:rPr>
                <w:rFonts w:ascii="Times New Roman" w:hAnsi="Times New Roman" w:cs="Times New Roman"/>
                <w:sz w:val="20"/>
                <w:szCs w:val="20"/>
              </w:rPr>
              <w:t xml:space="preserve">ысокой готовности сил и средств, включая </w:t>
            </w: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ГКУ НСО "Центр ГО, ЧС и ПБ Новосибирской области" к эффективной защите населения и территории Новосибирской области от чрезвычайных ситуаций природного и техногенного характера.</w:t>
            </w:r>
          </w:p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5. Обеспечение обучения должностных лиц организаций в Новосибирской области всех форм собственности вопросам гражданской обороны и защиты населения и территории от чрезвычайных ситуаций</w:t>
            </w:r>
          </w:p>
        </w:tc>
      </w:tr>
      <w:tr w:rsidR="0018041F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Перечень подпрограмм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Подпрограммы не выделяются</w:t>
            </w:r>
          </w:p>
        </w:tc>
      </w:tr>
      <w:tr w:rsidR="0018041F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Сроки (этапы) реализации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1F" w:rsidRPr="0018041F" w:rsidRDefault="0018041F" w:rsidP="00E17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2015 – 2025 годы. Этапы реализации государственной программы не выделяются</w:t>
            </w:r>
          </w:p>
        </w:tc>
      </w:tr>
      <w:tr w:rsidR="00F03946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государственной программы составляет </w:t>
            </w:r>
            <w:r w:rsidR="005D4FC7" w:rsidRPr="005D4F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D4F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5D4FC7" w:rsidRPr="005D4FC7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  <w:r w:rsidR="005D4F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5D4FC7">
              <w:rPr>
                <w:rFonts w:ascii="Times New Roman" w:hAnsi="Times New Roman" w:cs="Times New Roman"/>
                <w:sz w:val="20"/>
                <w:szCs w:val="20"/>
              </w:rPr>
              <w:t>561,</w:t>
            </w:r>
            <w:r w:rsidR="00B424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рублей, в том числе: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из средств областного бюджета Новосибирской области –</w:t>
            </w:r>
          </w:p>
          <w:p w:rsidR="00F03946" w:rsidRPr="00F03946" w:rsidRDefault="005D4FC7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12 412 </w:t>
            </w:r>
            <w:r w:rsidR="00B4243A">
              <w:rPr>
                <w:rFonts w:ascii="Times New Roman" w:hAnsi="Times New Roman" w:cs="Times New Roman"/>
                <w:sz w:val="20"/>
                <w:szCs w:val="20"/>
              </w:rPr>
              <w:t>591,0</w:t>
            </w:r>
            <w:r w:rsidR="00F03946"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из средств местных бюджетов - 3 970,7 тыс. рублей.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По годам реализации государственной программы объем финансирования составит: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2015 год - 745 227,3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2016 год - 705 078,7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2017 год - 786 104,8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2018 год - 821 822,2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2019 год - 884 276,9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2020 год - 874 104,6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2021 год – 886 628,8 тыс. рублей;</w:t>
            </w:r>
          </w:p>
          <w:p w:rsidR="00F03946" w:rsidRPr="00F03946" w:rsidRDefault="00B4243A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 – 1 471 732,6</w:t>
            </w:r>
            <w:r w:rsidR="00F03946"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2023 год – 1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4F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25 091,8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2024 год – 1</w:t>
            </w:r>
            <w:r w:rsidR="005D4FC7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33 938,2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2025 год – 1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 582 555,8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рублей,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из средств областного бюджета Новосибирской области: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2015 год - 745 227,3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2016 год - 704 809,2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2017 год - 785 835,3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2018 год - 820 728,0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2019 год - 881 939,4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2020 год - 874 104,6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2021 год – 886 628,8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2022 год – 1</w:t>
            </w:r>
            <w:r w:rsidR="00B4243A">
              <w:rPr>
                <w:rFonts w:ascii="Times New Roman" w:hAnsi="Times New Roman" w:cs="Times New Roman"/>
                <w:sz w:val="20"/>
                <w:szCs w:val="20"/>
              </w:rPr>
              <w:t> 471 732,6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5336D9" w:rsidRPr="00F03946" w:rsidRDefault="005336D9" w:rsidP="00533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2023 год –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4F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25 091,8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5336D9" w:rsidRPr="00F03946" w:rsidRDefault="005336D9" w:rsidP="00533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2024 год – 1</w:t>
            </w:r>
            <w:r w:rsidR="005D4FC7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33 938,2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F03946" w:rsidRPr="00F03946" w:rsidRDefault="005336D9" w:rsidP="00533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2025 год –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582 555,8 тыс. рублей</w:t>
            </w:r>
            <w:r w:rsidR="00F03946" w:rsidRPr="00F0394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из средств местных бюджетов: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2016 год - 269,5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2017 год - 269,5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2018 год - 1094,2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2019 год - 2 337,5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2020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2021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2022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2023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2024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2025 год - 0,0 тыс. рублей.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По главным распорядителям средств областного бюджета Новосибирской области: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МЖКХиЭ НСО – 11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 406 32</w:t>
            </w:r>
            <w:r w:rsidR="00B424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4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рублей, в том числе по годам: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2015 год - 745 227,3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2016 год - 676 176,3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2017 год - 785 835,3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2018 год - 820 728,0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2019 год - 881 939,4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2020 год - 874 104,6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2021 год – 878 995,6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2022 год – 1 151 732,</w:t>
            </w:r>
            <w:r w:rsidR="00B424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2023 год – 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1 475 091,8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2024 год – 1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 533 938,2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2025 год – 1</w:t>
            </w:r>
            <w:r w:rsidR="005336D9">
              <w:rPr>
                <w:rFonts w:ascii="Times New Roman" w:hAnsi="Times New Roman" w:cs="Times New Roman"/>
                <w:sz w:val="20"/>
                <w:szCs w:val="20"/>
              </w:rPr>
              <w:t> 582 555,8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рублей,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ДИиРТТ НСО - 28 632,9 тыс. рублей, в том числе по годам: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2015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2016 год - 28 632,9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2017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2018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2019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2020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2021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2022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2023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2024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2025 год - 0,0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</w:t>
            </w:r>
            <w:r w:rsidR="005D4FC7">
              <w:rPr>
                <w:rFonts w:ascii="Times New Roman" w:hAnsi="Times New Roman" w:cs="Times New Roman"/>
                <w:sz w:val="20"/>
                <w:szCs w:val="20"/>
              </w:rPr>
              <w:t>льства Новосибирской области – 9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77 633,2 тыс. рублей, в том числе по годам: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2021 год – 7 633,2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2022 год – 320 000,0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2023 год – </w:t>
            </w:r>
            <w:r w:rsidR="005D4FC7" w:rsidRPr="005D4F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50 000,0 тыс. рублей;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5D4FC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4FC7" w:rsidRPr="005D4FC7">
              <w:rPr>
                <w:rFonts w:ascii="Times New Roman" w:hAnsi="Times New Roman" w:cs="Times New Roman"/>
                <w:sz w:val="20"/>
                <w:szCs w:val="20"/>
              </w:rPr>
              <w:t>300 00</w:t>
            </w: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0,0 тыс. рублей;</w:t>
            </w:r>
          </w:p>
          <w:p w:rsidR="00F03946" w:rsidRPr="005D4FC7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2025 год - 0,0 тыс. рублей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03946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Объемы налоговых расходов в рамках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2020 год – 0,0 тыс. рублей;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2021 год – 0,0 тыс. рублей;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2022 год – 0,0 тыс. рублей;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2023 год – 0,0 тыс. рублей;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2024 год – 0,0 тыс. рублей;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2025 год – 0,0 тыс. рублей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03946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Основные целевые индикаторы государственной программы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Целевые индикаторы: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1. Охват населения Новосибирской области региональной автоматизированной системой централизованного оповещения гражданской обороны Новосибирской области (далее – РАСЦО ГО Новосибирс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кой области)</w:t>
            </w: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2. Охват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чрезвычайных ситуаций (далее – КСЭ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ОН)</w:t>
            </w: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3. Доля общественных объединений добровольной пожарной охраны Новосибирской области, привлекаемых в рамках государственной программы к тушению пожаров.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4. Уровень оснащенности добровольных пожарных специальной экипировкой.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5. Доля паводкоопасных рек, на которых ликвидированы ледяные заторы (от общего количества паводкоопасных рек, на которых выявлена потребность в ликвидации ледяных заторов).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6. Доля населенных пунктов Новосибирской области, обеспеченных инженерной защитой от угрозы лесных и ландшафтных пожаров, от общего количества населенных пунктов, нуждающихся в инженерной защите.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7. Степень выполнения плана основных мероприятий ГКУ НСО "Центр ГО, ЧС и ПБ Новосибирской области".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8. Уровень исполнения государственного задания на обучение должностных лиц вопросам обеспечения безопасности жизнедеятельности.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9. Доля населенных пунктов, в которых реагирование на пожары фактически осуществляется подразделениями Государственной противопожарной службы Новосибирской области, от общего количества населенных пунктов, прикрытие которых должно осуществляться силами подразделений Государственной противопожарной службы Новосибирской области.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10. Количество оснащенных автономными дымовыми пожарными извещателями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пенсионеры и инвалиды</w:t>
            </w:r>
          </w:p>
        </w:tc>
      </w:tr>
      <w:tr w:rsidR="00F03946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реализации государственной программы, выраженные в количественно измеримых показателях: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1. Увеличение охвата населения РАСЦО ГО Новосибирской области (за счет введения в эксплуатацию дополнительных элементов) с 73,5% в 2014 году до 78,2% в 2015 году и сохранение достигнутого уровня до конца 2016 года &lt;*&gt;.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2. Создание в 2016 году КСЭОН и обеспечение ее бесперебойного функционирования, что позволит гарантированно доводить информацию до 100% населения Новосибирской области, проживающего в зонах быстроразвивающихся чрезвычайных ситуаций &lt;*&gt;.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3. Привлечение добровольных пожарных общественных объединений добровольной пожарной охраны Новосибирской области к тушению пожаров.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4. Повышение уровня оснащенности добровольных пожарных специальной экипировкой с 2,31% в 2019 году до 23,85% в 2025 году.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5. Доля паводкоопасных рек, на которых ликвидированы ледяные заторы, от общего количества рек, на которых выявлена потребность в ликвидации ледяных заторов, в годы проведения соответствующих мероприятий составит 100%.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6. Доля населенных пунктов Новосибирской области, обеспеченных инженерной защитой от угрозы лесных и ландшафтных пожаров, от общего количества населенных пунктов, нуждающихся в инженерной защите, в годы проведения соответствующих мероприятий составит 100%.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7. В 2019 году автономными дымовыми пожарными извещателями будет оснащено 14804 жилых помещения.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8. Повышение уровня выполнения плана основных мероприятий ГКУ НСО "Центр ГО, ЧС и ПБ Новосибирской области" с 95% в 2014 году до 100% в 2015 году и поддержание на достигнутом уровне до конца действия государственной программы.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9. Доля населенных пунктов, в которых реагирование на пожары фактически осуществляется подразделениями Государственной противопожарной службы на территории Новосибирской области, от общего количества населенных пунктов, прикрытие которых должно осуществляться силами подразделений Государственной противопожарной службы, увеличится с 70,06% в 2019 году до 74,21% в 2025 году.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10. Обучение и повышение квалификации не менее 3480 должностных лиц и специалистов по гражданской обороне и предупреждению чрезвычайных ситуаций ежегодно в течение всего периода реализации государственной программы, что составит 100% от прогнозных значений государственного задания.</w:t>
            </w:r>
          </w:p>
          <w:p w:rsidR="00F03946" w:rsidRPr="00F03946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Реализация данных мероприятий позволит содержать силы и средства для защиты населения и территории от чрезвычайных ситуаций природного и техногенного характера в постоянной готовности, а также обеспечить безопасность жизнедеятельности населения Новосибирской области, оперативное реагирование на чрезвычайные ситуации, их предупреждение и ликвидацию</w:t>
            </w:r>
          </w:p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946">
              <w:rPr>
                <w:rFonts w:ascii="Times New Roman" w:hAnsi="Times New Roman" w:cs="Times New Roman"/>
                <w:sz w:val="20"/>
                <w:szCs w:val="20"/>
              </w:rPr>
              <w:t>11. Строительство зданий двух пожарных депо для прикрытия объектов с одновременным массовым пребыванием людей.</w:t>
            </w:r>
          </w:p>
        </w:tc>
      </w:tr>
      <w:tr w:rsidR="00F03946" w:rsidRPr="0018041F" w:rsidTr="0018041F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6" w:rsidRPr="0018041F" w:rsidRDefault="00F03946" w:rsidP="00F03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041F">
              <w:rPr>
                <w:rFonts w:ascii="Times New Roman" w:hAnsi="Times New Roman" w:cs="Times New Roman"/>
                <w:sz w:val="20"/>
                <w:szCs w:val="20"/>
              </w:rPr>
              <w:t>http://www.mjkh.nso.ru</w:t>
            </w:r>
          </w:p>
        </w:tc>
      </w:tr>
    </w:tbl>
    <w:p w:rsidR="0018041F" w:rsidRDefault="0018041F" w:rsidP="00040DE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40DEF" w:rsidRPr="00044E1D" w:rsidRDefault="00040DEF" w:rsidP="00040DEF"/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3"/>
        <w:gridCol w:w="3054"/>
        <w:gridCol w:w="3054"/>
      </w:tblGrid>
      <w:tr w:rsidR="00D33AE3" w:rsidRPr="00F06925" w:rsidTr="00640320">
        <w:tc>
          <w:tcPr>
            <w:tcW w:w="3803" w:type="dxa"/>
            <w:hideMark/>
          </w:tcPr>
          <w:p w:rsidR="00D33AE3" w:rsidRDefault="00D33AE3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3AE3" w:rsidRDefault="00D33AE3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3AE3" w:rsidRPr="00F06925" w:rsidRDefault="006D35B5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 жилищно-коммунального хозяйства и энергетики Новосибирской области</w:t>
            </w:r>
          </w:p>
        </w:tc>
        <w:tc>
          <w:tcPr>
            <w:tcW w:w="3054" w:type="dxa"/>
          </w:tcPr>
          <w:p w:rsidR="00D33AE3" w:rsidRPr="00F06925" w:rsidRDefault="00D33AE3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54" w:type="dxa"/>
          </w:tcPr>
          <w:p w:rsidR="00D33AE3" w:rsidRPr="00F06925" w:rsidRDefault="00D33AE3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3AE3" w:rsidRPr="00F06925" w:rsidRDefault="00D33AE3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3AE3" w:rsidRPr="00F06925" w:rsidRDefault="00D33AE3" w:rsidP="0064032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001EE" w:rsidRDefault="005001EE" w:rsidP="0064032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001EE" w:rsidRDefault="005001EE" w:rsidP="0064032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3AE3" w:rsidRPr="00F06925" w:rsidRDefault="006D35B5" w:rsidP="0064032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Д.Н. Архипов</w:t>
            </w:r>
          </w:p>
        </w:tc>
      </w:tr>
      <w:tr w:rsidR="00040DEF" w:rsidRPr="00F06925" w:rsidTr="00D33AE3">
        <w:tc>
          <w:tcPr>
            <w:tcW w:w="3803" w:type="dxa"/>
          </w:tcPr>
          <w:p w:rsidR="00040DEF" w:rsidRPr="00044E1D" w:rsidRDefault="00040DEF" w:rsidP="006830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54" w:type="dxa"/>
          </w:tcPr>
          <w:p w:rsidR="00040DEF" w:rsidRPr="00044E1D" w:rsidRDefault="00040DEF" w:rsidP="006830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54" w:type="dxa"/>
          </w:tcPr>
          <w:p w:rsidR="00040DEF" w:rsidRPr="00F06925" w:rsidRDefault="00040DEF" w:rsidP="006830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97805" w:rsidRDefault="00997805"/>
    <w:sectPr w:rsidR="00997805" w:rsidSect="00040DE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80A" w:rsidRDefault="0060180A" w:rsidP="00846533">
      <w:pPr>
        <w:spacing w:after="0" w:line="240" w:lineRule="auto"/>
      </w:pPr>
      <w:r>
        <w:separator/>
      </w:r>
    </w:p>
  </w:endnote>
  <w:endnote w:type="continuationSeparator" w:id="0">
    <w:p w:rsidR="0060180A" w:rsidRDefault="0060180A" w:rsidP="0084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80A" w:rsidRDefault="0060180A" w:rsidP="00846533">
      <w:pPr>
        <w:spacing w:after="0" w:line="240" w:lineRule="auto"/>
      </w:pPr>
      <w:r>
        <w:separator/>
      </w:r>
    </w:p>
  </w:footnote>
  <w:footnote w:type="continuationSeparator" w:id="0">
    <w:p w:rsidR="0060180A" w:rsidRDefault="0060180A" w:rsidP="00846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7E7"/>
    <w:multiLevelType w:val="hybridMultilevel"/>
    <w:tmpl w:val="F47820FC"/>
    <w:lvl w:ilvl="0" w:tplc="FF62E5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E5D6E"/>
    <w:multiLevelType w:val="hybridMultilevel"/>
    <w:tmpl w:val="28BC173C"/>
    <w:lvl w:ilvl="0" w:tplc="22E4D78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EF"/>
    <w:rsid w:val="00040DEF"/>
    <w:rsid w:val="00044E1D"/>
    <w:rsid w:val="000469A0"/>
    <w:rsid w:val="000E70DA"/>
    <w:rsid w:val="0018041F"/>
    <w:rsid w:val="001E59D6"/>
    <w:rsid w:val="002924EC"/>
    <w:rsid w:val="00316A27"/>
    <w:rsid w:val="003C2C2C"/>
    <w:rsid w:val="005001EE"/>
    <w:rsid w:val="005336D9"/>
    <w:rsid w:val="005D4FC7"/>
    <w:rsid w:val="00601740"/>
    <w:rsid w:val="0060180A"/>
    <w:rsid w:val="006824BC"/>
    <w:rsid w:val="006D35B5"/>
    <w:rsid w:val="00784A6C"/>
    <w:rsid w:val="00846533"/>
    <w:rsid w:val="00997805"/>
    <w:rsid w:val="00A93923"/>
    <w:rsid w:val="00AB1815"/>
    <w:rsid w:val="00B4243A"/>
    <w:rsid w:val="00D33AE3"/>
    <w:rsid w:val="00E45B01"/>
    <w:rsid w:val="00F03946"/>
    <w:rsid w:val="00F3624D"/>
    <w:rsid w:val="00F6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015B4"/>
  <w15:chartTrackingRefBased/>
  <w15:docId w15:val="{D72A93CC-0DF6-4AE1-BEDA-483C97C7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DE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653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33"/>
  </w:style>
  <w:style w:type="paragraph" w:styleId="a7">
    <w:name w:val="footer"/>
    <w:basedOn w:val="a"/>
    <w:link w:val="a8"/>
    <w:uiPriority w:val="99"/>
    <w:unhideWhenUsed/>
    <w:rsid w:val="008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33"/>
  </w:style>
  <w:style w:type="character" w:styleId="a9">
    <w:name w:val="annotation reference"/>
    <w:basedOn w:val="a0"/>
    <w:uiPriority w:val="99"/>
    <w:semiHidden/>
    <w:unhideWhenUsed/>
    <w:rsid w:val="000469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69A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69A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69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69A0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6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69A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039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7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Михаил Николаевич</dc:creator>
  <cp:keywords/>
  <dc:description/>
  <cp:lastModifiedBy>Бажина Ирина Дмитриевна</cp:lastModifiedBy>
  <cp:revision>8</cp:revision>
  <cp:lastPrinted>2022-10-14T09:00:00Z</cp:lastPrinted>
  <dcterms:created xsi:type="dcterms:W3CDTF">2021-10-13T09:10:00Z</dcterms:created>
  <dcterms:modified xsi:type="dcterms:W3CDTF">2022-10-17T07:36:00Z</dcterms:modified>
</cp:coreProperties>
</file>